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Дело № 1-2-2107/2024</w:t>
      </w:r>
    </w:p>
    <w:p>
      <w:pPr>
        <w:spacing w:before="0" w:after="0"/>
        <w:ind w:left="637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86MS0047-01-2023-001519-11</w:t>
      </w:r>
    </w:p>
    <w:p>
      <w:pPr>
        <w:spacing w:before="0" w:after="0"/>
        <w:ind w:left="6372"/>
        <w:jc w:val="both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4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11 января 2024 года</w:t>
      </w:r>
    </w:p>
    <w:p>
      <w:pPr>
        <w:spacing w:before="0" w:after="0"/>
        <w:ind w:firstLine="480"/>
        <w:jc w:val="both"/>
        <w:rPr>
          <w:sz w:val="28"/>
          <w:szCs w:val="28"/>
        </w:rPr>
      </w:pPr>
    </w:p>
    <w:p>
      <w:pPr>
        <w:spacing w:before="0" w:after="0"/>
        <w:ind w:firstLine="4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Нижневартовска Ханты-Мансийского автономного округа – Югры,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Нижневартовска Ханты-Мансийского автономного округа – Югры, Вдовина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Лебедевой М.В.,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 государственного обвинителя заместителя прокурора г. Нижневартовска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Дроздецкого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</w:p>
    <w:p>
      <w:pPr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А.Г.,</w:t>
      </w:r>
    </w:p>
    <w:p>
      <w:pPr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защитника-адвоката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Прилипской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особом порядке уголовное дело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1-2-2107/2024 по обвинению:</w:t>
      </w:r>
    </w:p>
    <w:p>
      <w:pPr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Артема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grp-5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3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высшим образованием,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холостого, военнообязанного, неработающего, зарегистрированного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UserDefinedgrp-5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grp-55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судимого, </w:t>
      </w:r>
    </w:p>
    <w:p>
      <w:pPr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Мера пресечения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избиралась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обвиняемого в совершении преступления, предусмотренного ст. </w:t>
      </w:r>
      <w:r>
        <w:rPr>
          <w:rFonts w:ascii="Times New Roman" w:eastAsia="Times New Roman" w:hAnsi="Times New Roman" w:cs="Times New Roman"/>
          <w:sz w:val="28"/>
          <w:szCs w:val="28"/>
        </w:rPr>
        <w:t>330.2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 w:line="317" w:lineRule="atLeast"/>
        <w:ind w:left="20" w:right="40"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обвиняется в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гражданином Российской Федерации, на основании ст. 18 Федерального закона РФ от 31 мая 2002 года № 62-ФЗ «О гражданстве Российской Федерации», будучи документированным паспортом гражданина Российской Федерации серии </w:t>
      </w:r>
      <w:r>
        <w:rPr>
          <w:rStyle w:val="cat-UserDefinedgrp-56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>
        <w:rPr>
          <w:rStyle w:val="cat-UserDefinedgrp-50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7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постоянно проживающий на территории Российской Федерации, с </w:t>
      </w:r>
      <w:r>
        <w:rPr>
          <w:rStyle w:val="cat-UserDefinedgrp-58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точные дата и время следствием не установлены, покинул пределы Российской Федерации и выехал на территорию Республики Молдова.</w:t>
      </w:r>
    </w:p>
    <w:p>
      <w:pPr>
        <w:spacing w:before="0" w:after="0" w:line="317" w:lineRule="atLeast"/>
        <w:ind w:left="20" w:right="40"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с 21.07.2021 по 16.08.2021, точные дата и время следствием не установлены,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А.Г., находясь на территории Республики Молдова, в установленном законодательством Республики Молдова порядке и на законных основаниях, получил паспорт Республики Молдова №АВ </w:t>
      </w:r>
      <w:r>
        <w:rPr>
          <w:rStyle w:val="cat-UserDefinedgrp-44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является доказательством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является гражданином Республики Молдова.</w:t>
      </w:r>
    </w:p>
    <w:p>
      <w:pPr>
        <w:spacing w:before="0" w:after="0" w:line="317" w:lineRule="atLeast"/>
        <w:ind w:left="20" w:right="40"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ст. 6 Федерального закона «О гражданстве Российской Федерации» от 31.05.2002 N 62-ФЗ (в ред.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от 27.12.2018 N 528-ФЗ), гражданин Российской Федерации, имеющий также иное гражданство или иной действительный документ, подтверждающий право на его постоянное проживание в иностранном государстве, в связи с нахождением за пределами Российской Федерации не подавший письменное уведомление 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власти, уполномоченного на осуществление функций по контролю и надзору в сфере миграции (с 27.12.2018 - в сфере внутренних дел) по месту жительства в пределах Российской Федерации, в шес</w:t>
      </w:r>
      <w:r>
        <w:rPr>
          <w:rFonts w:ascii="Times New Roman" w:eastAsia="Times New Roman" w:hAnsi="Times New Roman" w:cs="Times New Roman"/>
          <w:sz w:val="28"/>
          <w:szCs w:val="28"/>
        </w:rPr>
        <w:t>тидесяти</w:t>
      </w:r>
      <w:r>
        <w:rPr>
          <w:rFonts w:ascii="Times New Roman" w:eastAsia="Times New Roman" w:hAnsi="Times New Roman" w:cs="Times New Roman"/>
          <w:sz w:val="28"/>
          <w:szCs w:val="28"/>
        </w:rPr>
        <w:t>дневный срок, обязан подать такое уведомление не позднее тридцати дней со дня въезда в Российскую Федерацию.</w:t>
      </w:r>
    </w:p>
    <w:p>
      <w:pPr>
        <w:spacing w:before="0" w:after="0" w:line="317" w:lineRule="atLeast"/>
        <w:ind w:left="20" w:right="40"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А.Г., вернувшись не позднее 16.08.2021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Республики Молдова на постоянное место жительство в Российскую Федерацию, в соответствии с Федеральным законом «О гражданстве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Федерации» от 31.05.2002 N 62-ФЗ (в ред. Федерального закона от 27.12.2018 N 528-ФЗ), был обязан в течении, тридцати дней подать в территориальный орган федерального органа исполнительной власти, уполномоченного на осуществление функций по контролю и надзору в сфере миграции по месту жительства или фактического пребывания в пределах Российской Федерации письменное уведомление о наличии у него гражданства государства Республики Молдова и документа, подтверждающего право на его постоянное проживание в иностранном государстве.</w:t>
      </w:r>
    </w:p>
    <w:p>
      <w:pPr>
        <w:spacing w:before="0" w:after="0" w:line="317" w:lineRule="atLeast"/>
        <w:ind w:left="20" w:right="40"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Однако, в нарушение вышеуказанной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А.Г., будучи зарегистрированным по адресу: </w:t>
      </w:r>
      <w:r>
        <w:rPr>
          <w:rStyle w:val="cat-UserDefinedgrp-59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постоянно проживая и находясь в городе Нижневартовске Ханты-Мансийского автономного округа Югры, будучи обязанным как гражданин Российской Федерации подать в территориальный орган федерального органа исполнительной власти, уполномоченного на осуществление функций по контролю в пределах Российской Федерации, письменное уведомление о наличии у него иного гражданства и документа, подтверждающего право на его постоянное проживание в иностранном государстве, не проживая постоянно за пределами Российской Федерации, имея также гражданство Республики Молдова и документ, подтверждающий его право на постоянное проживание в иностранном государстве - Республики Молдова, заведомо зная о вышеуказанной обязанности, умышленно, осознавая противоправный характер и общественную опасность своего бездействия, по личным мотивам, в период с 16.08.2021 до 19.12.2022, то есть в срок, превышающий тридцать дней с момента возникновения у него данной обязанности, не подал письменное уведомление о наличии у него гражданства Республики Молдова и документа, подтверждающего право на его постоянное проживание в иностранном государстве - паспорта гражданина Республики Молдова №АВ </w:t>
      </w:r>
      <w:r>
        <w:rPr>
          <w:rStyle w:val="cat-UserDefinedgrp-44rplc-6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соответствующий территориальный орган федерального органа исполнительной власти, уполномоченный на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функций по контролю и надзору в сфере миграции - отдел по вопросам миграции Отдела МВД России по городу Нижневартовск Ханты-Мансийского автономного округа-Югры, при этом в установленном законом порядке от имеющегося у него гражданства Российской Федерации не отказался, с заявлением о выходе из гражданства Российской Федерации не обратился.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органом предварительного расследования были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330.2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УК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Прилипская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в судебном заседании заявила ходатайство о прекращении уголовного дела по ст. 330.2 Уголовного кодекса Российской Федерации и освобождении ее подзащитного от уголовной ответственности с назначением судебного штрафа в соответствии с положениями ст. 76.2 Уголовного кодекса Российской Федерации, так как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впервые совершил преступление небольшой тяжести,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загладил причиненный преступлением вред тем, что после того, когда у него был изъят паспорт другого государства и он узна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обязанности уведомить миграционную службу о втором гражданстве он уведомил соответствующий орган об этом.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был привлечен к административной ответственности по данному факту по ст. 19.8.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 и ему было назначено наказание в виде административного штрафа в размере 500 рублей,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сразу же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, не смотря на то, что данное постановление было впоследствии отменено.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признал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 330.2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в содеянном раскаялся,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у него был изъят паспорт другого государства, тогда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обязанности уведомить миграционную службу о втором гражданстве, он сразу же уведомил соответствующий орган об этом. Им был оплачен </w:t>
      </w:r>
      <w:r>
        <w:rPr>
          <w:rFonts w:ascii="Times New Roman" w:eastAsia="Times New Roman" w:hAnsi="Times New Roman" w:cs="Times New Roman"/>
          <w:sz w:val="28"/>
          <w:szCs w:val="28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500 рублей, назначенный ему постановлением об административном правонарушении,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ст. 19.8.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прекращением уголовного дела с назначением судебного штрафа согласен, последствия прекращения уголовного дела в порядке ст. 25.1 Уголовно-процессуального кодекса Российской Федерации по </w:t>
      </w:r>
      <w:r>
        <w:rPr>
          <w:rFonts w:ascii="Times New Roman" w:eastAsia="Times New Roman" w:hAnsi="Times New Roman" w:cs="Times New Roman"/>
          <w:sz w:val="28"/>
          <w:szCs w:val="28"/>
        </w:rPr>
        <w:t>нереабилитирующему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основанию ему понятны.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государственный обвинитель возражал против прекращения уголовного дела в связи с назначением судебного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что вред, причиненный преступлением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заглаж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Суд, выслушав стороны, изучив материалы дела, приходит к следующему.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25.1 Уголовно-процессуального кодекса Российской Федерации,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настоящим Кодексом, в случаях, предусмотренных статьей 76.2 Уголовного кодекса Российской Федерации, вправе прекратить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76.2 Уголовного кодекса Российской Федерации,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15 Уголовного кодекса Российской Федерации преступление, предусмотренное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330.2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Федерации, относится к преступлениям небольшой тяжести.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установлено, что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не судим, к уголовной ответственности не привлекался, у врачей нарколога и психиатра не наблюдается, по месту </w:t>
      </w:r>
      <w:r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жалоб от соседей на него не поступало</w:t>
      </w:r>
      <w:r>
        <w:rPr>
          <w:rFonts w:ascii="Times New Roman" w:eastAsia="Times New Roman" w:hAnsi="Times New Roman" w:cs="Times New Roman"/>
          <w:sz w:val="28"/>
          <w:szCs w:val="28"/>
        </w:rPr>
        <w:t>, вину в совершении преступления признал полностью, в содеянном раскаялся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материалах уголовного дела имеется постановление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15.02.2023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был привлечен по вышеуказанному факту к административной ответственности по ст. 19.8.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ему было назначено наказание в виде административного штрафа в размере 500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eastAsia="Times New Roman" w:hAnsi="Times New Roman" w:cs="Times New Roman"/>
          <w:sz w:val="28"/>
          <w:szCs w:val="28"/>
        </w:rPr>
        <w:t>было отменено судом апелляционной инстанции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апреля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имеется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квитанция о</w:t>
      </w:r>
      <w:r>
        <w:rPr>
          <w:rFonts w:ascii="Times New Roman" w:eastAsia="Times New Roman" w:hAnsi="Times New Roman" w:cs="Times New Roman"/>
          <w:sz w:val="28"/>
          <w:szCs w:val="28"/>
        </w:rPr>
        <w:t>б оплате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данному постановлению,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" w:eastAsia="Times New Roman" w:hAnsi="Times New Roman" w:cs="Times New Roman"/>
          <w:sz w:val="28"/>
          <w:szCs w:val="28"/>
        </w:rPr>
        <w:t>мирового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указанные обстоятельства свидетельствуют о том, что подсудимый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изъятия у него паспорта другого государства действительно сообщил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миграционную службу о наличии у него гражданства иностранного государства, а также оплатил административный штраф, 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принял меры к нейтрализации вредных последствий преступления, следовательно, полностью загладил причиненный преступлением вред.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Отягчающих наказание обстоятельств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данные обстоятельства в совокупности, характер и степень общественной опасности инкриминируемого преступления, личность подсудимого, вопреки доводам обвинения,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считает возможным освободить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уголовной ответственности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ст. 330.2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 на основании ст. 76.2 Уголовного кодекса Российской Федерации, в соответствии со ст. 25.1 Уголовно-процессуального кодекса Российской Федерации уголовное дело в отношении него прекратить с назначением меры уголовно-правового характера в виде судебного штрафа.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 размер судебного штрафа, суд исходит из тяжести совершенного преступления, имущественного и семейного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п. 4 ст. 254 Уголовно-процессуального кодекса Российской Федерации, мировой судья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Прекратить уголовное дело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Артема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обвинению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преступления, предусмотренного ст. 330.2 УК РФ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статьи 25.1 Уголовно-процессуального кодекса Российской Федерации и освободить его от уголовной ответственности в связи с назначением меры уголовно-правового характера в виде судебного штрафа.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меру уголовно-правового характера в виде судебного штрафа в размере 10 000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уплате судебного штрафа необходимо предоставить судебному приставу-исполнителю в течение 60 дней после истечения срока, установленного для уплаты судебного штрафа. В случае неуплаты судебного штрафа в установленный срок, судебный штраф отменяется, и лицо привлекается к уголовной ответственности по соответствующей статье Особенной части Уголовного кодекса Российской Федерации.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оплате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УФК по Ханты-Мансийскому автономному округу-Югре (СУ СК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Ханты-Мансийскому автономному округу - Югре), единый казначейский счет: 40102810245370000007, казначейский 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лицевой счет 04871А59200, РКЦ Ханты-Мансийск//УФК по ХМАО-Югре, г. Ханты-Мансийск, БИК 007162163, ОКТМО 71871000, ИНН 8601043081, КПП 860101001, КБК 41711603132010000140, единый уникальный номер уголовного дела: 12202711021035253, УИН:41700000000007163163.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Мера пресечения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не избиралась.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доказательства: паспорт гражданина Республики Молдова на имя </w:t>
      </w:r>
      <w:r>
        <w:rPr>
          <w:rFonts w:ascii="Times New Roman" w:eastAsia="Times New Roman" w:hAnsi="Times New Roman" w:cs="Times New Roman"/>
          <w:sz w:val="28"/>
          <w:szCs w:val="28"/>
        </w:rPr>
        <w:t>Muntean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Artiom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АВ1471051, хранящийся в материалах дела- после вступления приговора в законную силу_ вернуть </w:t>
      </w:r>
      <w:r>
        <w:rPr>
          <w:rFonts w:ascii="Times New Roman" w:eastAsia="Times New Roman" w:hAnsi="Times New Roman" w:cs="Times New Roman"/>
          <w:sz w:val="28"/>
          <w:szCs w:val="28"/>
        </w:rPr>
        <w:t>Мунтян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оперативно-розыскной деятельности-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хранить в материалах уголовного дела.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настоящего постановления направить заинтересованным лицам.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 - Мансийского автономного округа – Югры в течение 15 суток со дня его провозглашения, через мирового судью судебного участка №7.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60rplc-10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№1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М.ВЛебедева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Подлинник приговора находится в материалах дела </w:t>
      </w:r>
      <w:r>
        <w:rPr>
          <w:rFonts w:ascii="Times New Roman" w:eastAsia="Times New Roman" w:hAnsi="Times New Roman" w:cs="Times New Roman"/>
          <w:sz w:val="20"/>
          <w:szCs w:val="20"/>
        </w:rPr>
        <w:t>№ 1-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-210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Нижневартовского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района города окружного значения Нижневартовска Ханты-Мансийского автономного округа - Югры</w:t>
      </w: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1rplc-14">
    <w:name w:val="cat-UserDefined grp-51 rplc-14"/>
    <w:basedOn w:val="DefaultParagraphFont"/>
  </w:style>
  <w:style w:type="character" w:customStyle="1" w:styleId="cat-UserDefinedgrp-52rplc-16">
    <w:name w:val="cat-UserDefined grp-52 rplc-16"/>
    <w:basedOn w:val="DefaultParagraphFont"/>
  </w:style>
  <w:style w:type="character" w:customStyle="1" w:styleId="cat-UserDefinedgrp-53rplc-17">
    <w:name w:val="cat-UserDefined grp-53 rplc-17"/>
    <w:basedOn w:val="DefaultParagraphFont"/>
  </w:style>
  <w:style w:type="character" w:customStyle="1" w:styleId="cat-UserDefinedgrp-54rplc-19">
    <w:name w:val="cat-UserDefined grp-54 rplc-19"/>
    <w:basedOn w:val="DefaultParagraphFont"/>
  </w:style>
  <w:style w:type="character" w:customStyle="1" w:styleId="cat-UserDefinedgrp-55rplc-20">
    <w:name w:val="cat-UserDefined grp-55 rplc-20"/>
    <w:basedOn w:val="DefaultParagraphFont"/>
  </w:style>
  <w:style w:type="character" w:customStyle="1" w:styleId="cat-UserDefinedgrp-56rplc-26">
    <w:name w:val="cat-UserDefined grp-56 rplc-26"/>
    <w:basedOn w:val="DefaultParagraphFont"/>
  </w:style>
  <w:style w:type="character" w:customStyle="1" w:styleId="cat-UserDefinedgrp-50rplc-29">
    <w:name w:val="cat-UserDefined grp-50 rplc-29"/>
    <w:basedOn w:val="DefaultParagraphFont"/>
  </w:style>
  <w:style w:type="character" w:customStyle="1" w:styleId="cat-UserDefinedgrp-57rplc-30">
    <w:name w:val="cat-UserDefined grp-57 rplc-30"/>
    <w:basedOn w:val="DefaultParagraphFont"/>
  </w:style>
  <w:style w:type="character" w:customStyle="1" w:styleId="cat-UserDefinedgrp-58rplc-35">
    <w:name w:val="cat-UserDefined grp-58 rplc-35"/>
    <w:basedOn w:val="DefaultParagraphFont"/>
  </w:style>
  <w:style w:type="character" w:customStyle="1" w:styleId="cat-UserDefinedgrp-44rplc-45">
    <w:name w:val="cat-UserDefined grp-44 rplc-45"/>
    <w:basedOn w:val="DefaultParagraphFont"/>
  </w:style>
  <w:style w:type="character" w:customStyle="1" w:styleId="cat-UserDefinedgrp-59rplc-57">
    <w:name w:val="cat-UserDefined grp-59 rplc-57"/>
    <w:basedOn w:val="DefaultParagraphFont"/>
  </w:style>
  <w:style w:type="character" w:customStyle="1" w:styleId="cat-UserDefinedgrp-44rplc-66">
    <w:name w:val="cat-UserDefined grp-44 rplc-66"/>
    <w:basedOn w:val="DefaultParagraphFont"/>
  </w:style>
  <w:style w:type="character" w:customStyle="1" w:styleId="cat-UserDefinedgrp-60rplc-100">
    <w:name w:val="cat-UserDefined grp-60 rplc-10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